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8BE" w:rsidRPr="00484060" w:rsidRDefault="00B014C9" w:rsidP="00B478BE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 </w:t>
      </w:r>
      <w:r w:rsidR="00B478BE" w:rsidRPr="00484060">
        <w:rPr>
          <w:b/>
          <w:sz w:val="24"/>
          <w:szCs w:val="24"/>
        </w:rPr>
        <w:t>Теоретические исследования.</w:t>
      </w:r>
    </w:p>
    <w:p w:rsidR="00B478BE" w:rsidRPr="00484060" w:rsidRDefault="00B478BE" w:rsidP="00B478BE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 w:rsidRPr="00484060">
        <w:rPr>
          <w:sz w:val="24"/>
          <w:szCs w:val="24"/>
        </w:rPr>
        <w:t xml:space="preserve">Задачи и методы теоретического исследования. Методы расчленения и объединения. Общая теория систем. </w:t>
      </w:r>
    </w:p>
    <w:p w:rsidR="00B478BE" w:rsidRPr="00484060" w:rsidRDefault="00B478BE" w:rsidP="00B478BE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sz w:val="24"/>
          <w:szCs w:val="24"/>
        </w:rPr>
      </w:pPr>
      <w:r w:rsidRPr="00484060">
        <w:rPr>
          <w:sz w:val="24"/>
          <w:szCs w:val="24"/>
        </w:rPr>
        <w:t>Системность, релятивность, универсальность. Что включают в себя ТИ. Структурные компоненты решения задачи.</w:t>
      </w:r>
    </w:p>
    <w:p w:rsidR="004F6010" w:rsidRDefault="00B478BE" w:rsidP="00B478BE">
      <w:r w:rsidRPr="00484060">
        <w:rPr>
          <w:sz w:val="24"/>
          <w:szCs w:val="24"/>
        </w:rPr>
        <w:t>Схемы взаимодействия объектов с внешней средой. Математический аппарат для построения математической модели. Принцип суперпозиции</w:t>
      </w:r>
    </w:p>
    <w:sectPr w:rsidR="004F6010" w:rsidSect="00B478BE">
      <w:pgSz w:w="11906" w:h="16838"/>
      <w:pgMar w:top="1134" w:right="850" w:bottom="1134" w:left="255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78BE"/>
    <w:rsid w:val="004230D1"/>
    <w:rsid w:val="004F6010"/>
    <w:rsid w:val="00B014C9"/>
    <w:rsid w:val="00B47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8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2020-03-19T05:20:00Z</dcterms:created>
  <dcterms:modified xsi:type="dcterms:W3CDTF">2020-03-19T05:31:00Z</dcterms:modified>
</cp:coreProperties>
</file>